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采购需求</w:t>
      </w:r>
    </w:p>
    <w:p/>
    <w:tbl>
      <w:tblPr>
        <w:tblStyle w:val="5"/>
        <w:tblW w:w="974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426"/>
        <w:gridCol w:w="641"/>
        <w:gridCol w:w="5150"/>
        <w:gridCol w:w="613"/>
        <w:gridCol w:w="825"/>
        <w:gridCol w:w="1667"/>
        <w:gridCol w:w="42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26" w:type="dxa"/>
          </w:tcPr>
          <w:p>
            <w:r>
              <w:rPr>
                <w:rFonts w:hint="eastAsia"/>
              </w:rPr>
              <w:t>序号</w:t>
            </w:r>
          </w:p>
        </w:tc>
        <w:tc>
          <w:tcPr>
            <w:tcW w:w="641" w:type="dxa"/>
          </w:tcPr>
          <w:p>
            <w:r>
              <w:rPr>
                <w:rFonts w:hint="eastAsia"/>
              </w:rPr>
              <w:t>产品</w:t>
            </w:r>
          </w:p>
        </w:tc>
        <w:tc>
          <w:tcPr>
            <w:tcW w:w="5150" w:type="dxa"/>
          </w:tcPr>
          <w:p>
            <w:r>
              <w:rPr>
                <w:rFonts w:hint="eastAsia"/>
              </w:rPr>
              <w:t>参数</w:t>
            </w:r>
          </w:p>
        </w:tc>
        <w:tc>
          <w:tcPr>
            <w:tcW w:w="613" w:type="dxa"/>
            <w:tcBorders>
              <w:right w:val="single" w:color="auto" w:sz="4" w:space="0"/>
            </w:tcBorders>
          </w:tcPr>
          <w:p>
            <w:r>
              <w:rPr>
                <w:rFonts w:hint="eastAsia"/>
              </w:rPr>
              <w:t>数量</w:t>
            </w:r>
          </w:p>
        </w:tc>
        <w:tc>
          <w:tcPr>
            <w:tcW w:w="825" w:type="dxa"/>
            <w:tcBorders>
              <w:left w:val="single" w:color="auto" w:sz="4" w:space="0"/>
              <w:right w:val="single" w:color="auto" w:sz="4" w:space="0"/>
            </w:tcBorders>
          </w:tcPr>
          <w:p>
            <w:r>
              <w:rPr>
                <w:rFonts w:hint="eastAsia"/>
              </w:rPr>
              <w:t>单件</w:t>
            </w:r>
          </w:p>
        </w:tc>
        <w:tc>
          <w:tcPr>
            <w:tcW w:w="1667" w:type="dxa"/>
            <w:tcBorders>
              <w:left w:val="single" w:color="auto" w:sz="4" w:space="0"/>
              <w:right w:val="single" w:color="auto" w:sz="4" w:space="0"/>
            </w:tcBorders>
          </w:tcPr>
          <w:p>
            <w:r>
              <w:rPr>
                <w:rFonts w:hint="eastAsia"/>
              </w:rPr>
              <w:t>总价</w:t>
            </w:r>
          </w:p>
        </w:tc>
        <w:tc>
          <w:tcPr>
            <w:tcW w:w="425" w:type="dxa"/>
            <w:tcBorders>
              <w:left w:val="single" w:color="auto" w:sz="4" w:space="0"/>
            </w:tcBorders>
          </w:tcPr>
          <w:p>
            <w:r>
              <w:rPr>
                <w:rFonts w:hint="eastAsia"/>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01" w:hRule="atLeast"/>
        </w:trPr>
        <w:tc>
          <w:tcPr>
            <w:tcW w:w="426" w:type="dxa"/>
          </w:tcPr>
          <w:p>
            <w:r>
              <w:rPr>
                <w:rFonts w:hint="eastAsia"/>
              </w:rPr>
              <w:t>1</w:t>
            </w:r>
          </w:p>
        </w:tc>
        <w:tc>
          <w:tcPr>
            <w:tcW w:w="641" w:type="dxa"/>
          </w:tcPr>
          <w:p>
            <w:r>
              <w:rPr>
                <w:rFonts w:hint="eastAsia" w:ascii="宋体" w:hAnsi="宋体" w:eastAsia="宋体" w:cs="宋体"/>
                <w:sz w:val="24"/>
                <w:szCs w:val="24"/>
              </w:rPr>
              <w:t>★</w:t>
            </w:r>
            <w:r>
              <w:rPr>
                <w:rFonts w:hint="eastAsia"/>
              </w:rPr>
              <w:t>电钢琴</w:t>
            </w:r>
          </w:p>
        </w:tc>
        <w:tc>
          <w:tcPr>
            <w:tcW w:w="5150" w:type="dxa"/>
          </w:tcPr>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1、键盘：88键</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2、最大发音数：64</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3、音色：10种育志音色（含4种中国民族音色）</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4、双音色模式：有</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5、示范曲：不少于10首音色示范乐曲+10首预设钢琴曲</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6、效果功能：4种混响类型、双音色、双人演奏</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7、接口：USB-MIDI接口、三踏板插孔、单踏板插孔、耳机插孔、电源插孔</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8、自动关机功能：有；移调：有；微调：有</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9、高还原度扬声器：12CM*2，功率：6W*2</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10、配件：电源适配器、三踏板</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11、力度灵敏度：硬、中等、柔和、固定</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12、质保一年</w:t>
            </w:r>
          </w:p>
        </w:tc>
        <w:tc>
          <w:tcPr>
            <w:tcW w:w="613" w:type="dxa"/>
            <w:tcBorders>
              <w:right w:val="single" w:color="auto" w:sz="4" w:space="0"/>
            </w:tcBorders>
          </w:tcPr>
          <w:p>
            <w:pPr>
              <w:jc w:val="center"/>
            </w:pPr>
            <w:r>
              <w:rPr>
                <w:rFonts w:hint="eastAsia"/>
              </w:rPr>
              <w:t>55</w:t>
            </w:r>
          </w:p>
        </w:tc>
        <w:tc>
          <w:tcPr>
            <w:tcW w:w="825" w:type="dxa"/>
            <w:tcBorders>
              <w:left w:val="single" w:color="auto" w:sz="4" w:space="0"/>
              <w:right w:val="single" w:color="auto" w:sz="4" w:space="0"/>
            </w:tcBorders>
          </w:tcPr>
          <w:p>
            <w:pPr>
              <w:jc w:val="center"/>
            </w:pPr>
          </w:p>
        </w:tc>
        <w:tc>
          <w:tcPr>
            <w:tcW w:w="1667" w:type="dxa"/>
            <w:tcBorders>
              <w:left w:val="single" w:color="auto" w:sz="4" w:space="0"/>
              <w:right w:val="single" w:color="auto" w:sz="4" w:space="0"/>
            </w:tcBorders>
          </w:tcPr>
          <w:p>
            <w:pPr>
              <w:jc w:val="center"/>
            </w:pPr>
          </w:p>
        </w:tc>
        <w:tc>
          <w:tcPr>
            <w:tcW w:w="425" w:type="dxa"/>
            <w:tcBorders>
              <w:left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5" w:hRule="atLeast"/>
        </w:trPr>
        <w:tc>
          <w:tcPr>
            <w:tcW w:w="426" w:type="dxa"/>
          </w:tcPr>
          <w:p>
            <w:r>
              <w:rPr>
                <w:rFonts w:hint="eastAsia"/>
              </w:rPr>
              <w:t>2</w:t>
            </w:r>
          </w:p>
        </w:tc>
        <w:tc>
          <w:tcPr>
            <w:tcW w:w="641" w:type="dxa"/>
          </w:tcPr>
          <w:p>
            <w:r>
              <w:rPr>
                <w:rFonts w:hint="eastAsia"/>
              </w:rPr>
              <w:t>音乐电子示教板</w:t>
            </w:r>
          </w:p>
        </w:tc>
        <w:tc>
          <w:tcPr>
            <w:tcW w:w="5150" w:type="dxa"/>
          </w:tcPr>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1、61键电钢琴键盘。</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2、一组可书写的大谱表,采用白色书写面板，白板笔书写，清洁、卫生、方便擦涂。</w:t>
            </w:r>
          </w:p>
          <w:p>
            <w:pPr>
              <w:keepNext w:val="0"/>
              <w:keepLines w:val="0"/>
              <w:pageBreakBefore w:val="0"/>
              <w:tabs>
                <w:tab w:val="left" w:pos="960"/>
              </w:tabs>
              <w:kinsoku/>
              <w:wordWrap/>
              <w:overflowPunct/>
              <w:topLinePunct w:val="0"/>
              <w:autoSpaceDE/>
              <w:autoSpaceDN/>
              <w:bidi w:val="0"/>
              <w:adjustRightInd/>
              <w:snapToGrid/>
              <w:spacing w:line="300" w:lineRule="exact"/>
              <w:jc w:val="left"/>
              <w:textAlignment w:val="auto"/>
            </w:pPr>
            <w:r>
              <w:rPr>
                <w:rFonts w:hint="eastAsia"/>
              </w:rPr>
              <w:t>3、★采用红外线阻断发声原理，电教板面板设有红外线收发装置。                                                                                                                                                                                                                                                                                                                                                                                                                                 4、★不使用专用教鞭，手触摸五线谱区域即可发声（悬浮阻断红外线即可发声），发声过程顺化流畅，连续滑动五线谱，发声不卡不断。</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5、内置128种GM音色加1组鼓组音色，1350种节奏，内置522首示范曲，并可通过SD卡或USB接口无限拓展。</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6、12种五线谱变调，并以列表显示调名。</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7、可演示任意和弦，可在控制面板上直接操作“启动、停止和弦”、“增强和弦”、“消除和弦”快捷键。</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8、具有录音功能，可录制五千首音频，录制完后自动命名该文件，并以列表方式显示。</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9、节拍速度在J-40－280/每分钟范围可调，有“正常拍速”快捷键，方便拍速复位。</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10、★系统具有嵌入式的中文linux软件控制系统，控制面板上镶嵌一块26万色彩色液晶触摸屏，音量、音色、调式、曲目、录音等功能调节为触摸操作，可使用鼠标进行操作。</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11、电教板配备一块ARM中央处理器，主频为32M。</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12、面板设有三组音量调节键，分别可调MP3、节拍、键盘音量。</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13、主音量在0－31范围选择。</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14、具有USB接口，支持用户U盘，可读取u盘中的MP3文件和MIDI乐曲文件。</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15、★面板上贴有调的五度循环图，将键盘、谱表、调名、调号关联到一起。</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16、具有大屏幕简谱显示窗口，演示五线谱过程中可直接显示相对应的简谱。</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 xml:space="preserve">17、中标公示期内提供样品演示，不符合技术要求的做虚假应标处理，没收保证金并按“中华人民共和国政府采购管理条例”“中华人民共和国政府采购法”之相关规定追诉虚假应标人之相关行政责任。  </w:t>
            </w:r>
          </w:p>
          <w:p>
            <w:pPr>
              <w:keepNext w:val="0"/>
              <w:keepLines w:val="0"/>
              <w:pageBreakBefore w:val="0"/>
              <w:tabs>
                <w:tab w:val="left" w:pos="960"/>
              </w:tabs>
              <w:kinsoku/>
              <w:wordWrap/>
              <w:overflowPunct/>
              <w:topLinePunct w:val="0"/>
              <w:autoSpaceDE/>
              <w:autoSpaceDN/>
              <w:bidi w:val="0"/>
              <w:adjustRightInd/>
              <w:snapToGrid/>
              <w:spacing w:line="300" w:lineRule="exact"/>
              <w:textAlignment w:val="auto"/>
            </w:pPr>
            <w:r>
              <w:rPr>
                <w:rFonts w:hint="eastAsia"/>
              </w:rPr>
              <w:t>11. 提供制造厂家授权书、厂家质量服务承诺书原件，提供国家轻工业乐器质量监督检测报告。</w:t>
            </w:r>
          </w:p>
        </w:tc>
        <w:tc>
          <w:tcPr>
            <w:tcW w:w="613" w:type="dxa"/>
            <w:tcBorders>
              <w:right w:val="single" w:color="auto" w:sz="4" w:space="0"/>
            </w:tcBorders>
          </w:tcPr>
          <w:p>
            <w:r>
              <w:rPr>
                <w:rFonts w:hint="eastAsia"/>
              </w:rPr>
              <w:t>1</w:t>
            </w:r>
          </w:p>
        </w:tc>
        <w:tc>
          <w:tcPr>
            <w:tcW w:w="825" w:type="dxa"/>
            <w:tcBorders>
              <w:left w:val="single" w:color="auto" w:sz="4" w:space="0"/>
              <w:right w:val="single" w:color="auto" w:sz="4" w:space="0"/>
            </w:tcBorders>
          </w:tcPr>
          <w:p/>
        </w:tc>
        <w:tc>
          <w:tcPr>
            <w:tcW w:w="1667" w:type="dxa"/>
            <w:tcBorders>
              <w:left w:val="single" w:color="auto" w:sz="4" w:space="0"/>
              <w:right w:val="single" w:color="auto" w:sz="4" w:space="0"/>
            </w:tcBorders>
          </w:tcPr>
          <w:p/>
        </w:tc>
        <w:tc>
          <w:tcPr>
            <w:tcW w:w="425" w:type="dxa"/>
            <w:tcBorders>
              <w:left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9" w:hRule="atLeast"/>
        </w:trPr>
        <w:tc>
          <w:tcPr>
            <w:tcW w:w="426" w:type="dxa"/>
            <w:tcBorders>
              <w:bottom w:val="single" w:color="auto" w:sz="4" w:space="0"/>
            </w:tcBorders>
          </w:tcPr>
          <w:p>
            <w:r>
              <w:rPr>
                <w:rFonts w:hint="eastAsia"/>
              </w:rPr>
              <w:t>3</w:t>
            </w:r>
          </w:p>
        </w:tc>
        <w:tc>
          <w:tcPr>
            <w:tcW w:w="641" w:type="dxa"/>
            <w:tcBorders>
              <w:bottom w:val="single" w:color="auto" w:sz="4" w:space="0"/>
            </w:tcBorders>
          </w:tcPr>
          <w:p>
            <w:r>
              <w:rPr>
                <w:rFonts w:hint="eastAsia" w:ascii="宋体" w:hAnsi="宋体" w:cs="宋体"/>
              </w:rPr>
              <w:t>电钢琴控制器</w:t>
            </w:r>
          </w:p>
        </w:tc>
        <w:tc>
          <w:tcPr>
            <w:tcW w:w="5150" w:type="dxa"/>
            <w:tcBorders>
              <w:bottom w:val="single" w:color="auto" w:sz="4" w:space="0"/>
            </w:tcBorders>
            <w:vAlign w:val="center"/>
          </w:tcPr>
          <w:p>
            <w:pPr>
              <w:keepNext w:val="0"/>
              <w:keepLines w:val="0"/>
              <w:pageBreakBefore w:val="0"/>
              <w:numPr>
                <w:ilvl w:val="0"/>
                <w:numId w:val="1"/>
              </w:numPr>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eastAsia="宋体" w:cs="宋体"/>
                <w:szCs w:val="21"/>
              </w:rPr>
              <w:t>▲</w:t>
            </w:r>
            <w:r>
              <w:rPr>
                <w:rFonts w:ascii="宋体" w:hAnsi="宋体" w:eastAsia="宋体" w:cs="宋体"/>
                <w:szCs w:val="21"/>
              </w:rPr>
              <w:t>指示灯：须具有供电情况指示灯，通电时，指示灯亮起，断电后指示灯关闭（提供产品实物</w:t>
            </w:r>
            <w:r>
              <w:rPr>
                <w:rFonts w:hint="eastAsia" w:ascii="宋体" w:hAnsi="宋体" w:eastAsia="宋体" w:cs="宋体"/>
                <w:szCs w:val="21"/>
              </w:rPr>
              <w:t>照片</w:t>
            </w:r>
            <w:r>
              <w:rPr>
                <w:rFonts w:ascii="宋体" w:hAnsi="宋体" w:eastAsia="宋体" w:cs="宋体"/>
                <w:szCs w:val="21"/>
              </w:rPr>
              <w:t>佐证）；</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cs="宋体"/>
                <w:szCs w:val="21"/>
              </w:rPr>
              <w:t>2、</w:t>
            </w:r>
            <w:r>
              <w:rPr>
                <w:rFonts w:hint="eastAsia" w:ascii="宋体" w:hAnsi="宋体" w:eastAsia="宋体" w:cs="宋体"/>
                <w:szCs w:val="21"/>
              </w:rPr>
              <w:t>控制模块，无障碍传输距离：</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eastAsia="宋体" w:cs="宋体"/>
                <w:szCs w:val="21"/>
              </w:rPr>
              <w:t>3、200米无线，通信频段：</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eastAsia="宋体" w:cs="宋体"/>
                <w:szCs w:val="21"/>
              </w:rPr>
              <w:t>4、2.4G无线通信距离：</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eastAsia="宋体" w:cs="宋体"/>
                <w:szCs w:val="21"/>
              </w:rPr>
              <w:t>5、无障碍直线不低于50米控电点位：</w:t>
            </w:r>
          </w:p>
          <w:p>
            <w:pPr>
              <w:keepNext w:val="0"/>
              <w:keepLines w:val="0"/>
              <w:pageBreakBefore w:val="0"/>
              <w:kinsoku/>
              <w:wordWrap/>
              <w:overflowPunct/>
              <w:topLinePunct w:val="0"/>
              <w:autoSpaceDE/>
              <w:autoSpaceDN/>
              <w:bidi w:val="0"/>
              <w:adjustRightInd/>
              <w:snapToGrid/>
              <w:spacing w:line="300" w:lineRule="exact"/>
              <w:textAlignment w:val="auto"/>
              <w:rPr>
                <w:rFonts w:ascii="宋体" w:hAnsi="宋体" w:eastAsia="宋体" w:cs="宋体"/>
                <w:szCs w:val="21"/>
              </w:rPr>
            </w:pPr>
            <w:r>
              <w:rPr>
                <w:rFonts w:hint="eastAsia" w:ascii="宋体" w:hAnsi="宋体" w:eastAsia="宋体" w:cs="宋体"/>
                <w:szCs w:val="21"/>
              </w:rPr>
              <w:t>6、配合教学设备对电钢琴进行管理，实现电钢琴的供电与断电的远程控制，实现老师对设备的控制与管理；</w:t>
            </w:r>
          </w:p>
          <w:p>
            <w:pPr>
              <w:keepNext w:val="0"/>
              <w:keepLines w:val="0"/>
              <w:pageBreakBefore w:val="0"/>
              <w:kinsoku/>
              <w:wordWrap/>
              <w:overflowPunct/>
              <w:topLinePunct w:val="0"/>
              <w:autoSpaceDE/>
              <w:autoSpaceDN/>
              <w:bidi w:val="0"/>
              <w:adjustRightInd/>
              <w:snapToGrid/>
              <w:spacing w:line="300" w:lineRule="exact"/>
              <w:textAlignment w:val="auto"/>
              <w:rPr>
                <w:rFonts w:ascii="宋体"/>
                <w:szCs w:val="21"/>
              </w:rPr>
            </w:pPr>
            <w:r>
              <w:rPr>
                <w:rFonts w:hint="eastAsia" w:ascii="宋体" w:hAnsi="宋体" w:eastAsia="宋体" w:cs="宋体"/>
                <w:szCs w:val="21"/>
              </w:rPr>
              <w:t>★提供与</w:t>
            </w:r>
            <w:r>
              <w:rPr>
                <w:rFonts w:hint="eastAsia" w:ascii="宋体"/>
                <w:kern w:val="0"/>
              </w:rPr>
              <w:t>电钢琴室教学管理系统</w:t>
            </w:r>
            <w:r>
              <w:rPr>
                <w:rFonts w:hint="eastAsia" w:ascii="宋体" w:hAnsi="宋体" w:eastAsia="宋体" w:cs="宋体"/>
                <w:szCs w:val="21"/>
              </w:rPr>
              <w:t>同品牌的控制器嵌入式软件证书复印件，同时提供商标注册证复印件；</w:t>
            </w:r>
          </w:p>
        </w:tc>
        <w:tc>
          <w:tcPr>
            <w:tcW w:w="613" w:type="dxa"/>
            <w:tcBorders>
              <w:bottom w:val="single" w:color="auto" w:sz="4" w:space="0"/>
              <w:right w:val="single" w:color="auto" w:sz="4" w:space="0"/>
            </w:tcBorders>
          </w:tcPr>
          <w:p>
            <w:r>
              <w:rPr>
                <w:rFonts w:hint="eastAsia"/>
              </w:rPr>
              <w:t>55</w:t>
            </w:r>
          </w:p>
        </w:tc>
        <w:tc>
          <w:tcPr>
            <w:tcW w:w="825" w:type="dxa"/>
            <w:tcBorders>
              <w:left w:val="single" w:color="auto" w:sz="4" w:space="0"/>
              <w:bottom w:val="single" w:color="auto" w:sz="4" w:space="0"/>
              <w:right w:val="single" w:color="auto" w:sz="4" w:space="0"/>
            </w:tcBorders>
          </w:tcPr>
          <w:p/>
        </w:tc>
        <w:tc>
          <w:tcPr>
            <w:tcW w:w="1667" w:type="dxa"/>
            <w:tcBorders>
              <w:left w:val="single" w:color="auto" w:sz="4" w:space="0"/>
              <w:bottom w:val="single" w:color="auto" w:sz="4" w:space="0"/>
              <w:right w:val="single" w:color="auto" w:sz="4" w:space="0"/>
            </w:tcBorders>
          </w:tcPr>
          <w:p/>
        </w:tc>
        <w:tc>
          <w:tcPr>
            <w:tcW w:w="425" w:type="dxa"/>
            <w:tcBorders>
              <w:left w:val="single" w:color="auto" w:sz="4" w:space="0"/>
              <w:bottom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2" w:hRule="atLeast"/>
        </w:trPr>
        <w:tc>
          <w:tcPr>
            <w:tcW w:w="426" w:type="dxa"/>
            <w:tcBorders>
              <w:top w:val="single" w:color="auto" w:sz="4" w:space="0"/>
              <w:bottom w:val="single" w:color="auto" w:sz="4" w:space="0"/>
            </w:tcBorders>
          </w:tcPr>
          <w:p/>
        </w:tc>
        <w:tc>
          <w:tcPr>
            <w:tcW w:w="641" w:type="dxa"/>
            <w:tcBorders>
              <w:top w:val="single" w:color="auto" w:sz="4" w:space="0"/>
              <w:bottom w:val="single" w:color="auto" w:sz="4" w:space="0"/>
            </w:tcBorders>
          </w:tcPr>
          <w:p>
            <w:r>
              <w:rPr>
                <w:rFonts w:hint="eastAsia" w:ascii="宋体" w:hAnsi="宋体" w:eastAsia="宋体" w:cs="宋体"/>
                <w:sz w:val="24"/>
                <w:szCs w:val="24"/>
              </w:rPr>
              <w:t>★</w:t>
            </w:r>
            <w:r>
              <w:rPr>
                <w:rFonts w:hint="eastAsia" w:ascii="宋体" w:hAnsi="宋体" w:cs="宋体"/>
              </w:rPr>
              <w:t>教学管理机</w:t>
            </w:r>
          </w:p>
        </w:tc>
        <w:tc>
          <w:tcPr>
            <w:tcW w:w="5150" w:type="dxa"/>
            <w:tcBorders>
              <w:top w:val="single" w:color="auto" w:sz="4" w:space="0"/>
              <w:bottom w:val="single" w:color="auto" w:sz="4" w:space="0"/>
            </w:tcBorders>
          </w:tcPr>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基本参数：产品厚度≤30mm(提供实物厚度测量照片)，具备关闭屏幕显示的节能模式，集刷卡权限识别，电容指纹权限识别，中文语音提醒，中文信息实时显示，门禁控制，授权控制于一体；（提供产品检测报告佐证，并提供检测机构官网报告查询网址及截图佐证）</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2.▲产品外观：要求精美开模设计，前视图有语音提示喇叭；</w:t>
            </w:r>
            <w:r>
              <w:rPr>
                <w:rFonts w:ascii="宋体"/>
                <w:sz w:val="21"/>
                <w:szCs w:val="21"/>
              </w:rPr>
              <w:t xml:space="preserve"> </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3.工作电源：支持包含DC12V/3A电源或POE交换机供电，具备过流自动保护功能；</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4.支持音频格式：至少支持mp3；</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5.看门狗：内外置双看门狗，保证系统不死机不反锁用户；</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ascii="宋体"/>
                <w:szCs w:val="21"/>
              </w:rPr>
              <w:t>6.工作温度：—20℃~60℃；</w:t>
            </w:r>
          </w:p>
        </w:tc>
        <w:tc>
          <w:tcPr>
            <w:tcW w:w="613" w:type="dxa"/>
            <w:tcBorders>
              <w:top w:val="single" w:color="auto" w:sz="4" w:space="0"/>
              <w:bottom w:val="single" w:color="auto" w:sz="4" w:space="0"/>
              <w:right w:val="single" w:color="auto" w:sz="4" w:space="0"/>
            </w:tcBorders>
          </w:tcPr>
          <w:p>
            <w:r>
              <w:rPr>
                <w:rFonts w:hint="eastAsia"/>
              </w:rPr>
              <w:t>1</w:t>
            </w:r>
          </w:p>
        </w:tc>
        <w:tc>
          <w:tcPr>
            <w:tcW w:w="825" w:type="dxa"/>
            <w:tcBorders>
              <w:top w:val="single" w:color="auto" w:sz="4" w:space="0"/>
              <w:left w:val="single" w:color="auto" w:sz="4" w:space="0"/>
              <w:bottom w:val="single" w:color="auto" w:sz="4" w:space="0"/>
              <w:right w:val="single" w:color="auto" w:sz="4" w:space="0"/>
            </w:tcBorders>
          </w:tcPr>
          <w:p/>
        </w:tc>
        <w:tc>
          <w:tcPr>
            <w:tcW w:w="1667" w:type="dxa"/>
            <w:tcBorders>
              <w:top w:val="single" w:color="auto" w:sz="4" w:space="0"/>
              <w:left w:val="single" w:color="auto" w:sz="4" w:space="0"/>
              <w:bottom w:val="single" w:color="auto" w:sz="4" w:space="0"/>
              <w:right w:val="single" w:color="auto" w:sz="4" w:space="0"/>
            </w:tcBorders>
          </w:tcPr>
          <w:p/>
        </w:tc>
        <w:tc>
          <w:tcPr>
            <w:tcW w:w="425" w:type="dxa"/>
            <w:tcBorders>
              <w:top w:val="single" w:color="auto" w:sz="4" w:space="0"/>
              <w:left w:val="single" w:color="auto" w:sz="4" w:space="0"/>
              <w:bottom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0" w:hRule="atLeast"/>
        </w:trPr>
        <w:tc>
          <w:tcPr>
            <w:tcW w:w="426" w:type="dxa"/>
            <w:tcBorders>
              <w:top w:val="single" w:color="auto" w:sz="4" w:space="0"/>
              <w:bottom w:val="single" w:color="auto" w:sz="4" w:space="0"/>
            </w:tcBorders>
          </w:tcPr>
          <w:p/>
        </w:tc>
        <w:tc>
          <w:tcPr>
            <w:tcW w:w="641" w:type="dxa"/>
            <w:tcBorders>
              <w:top w:val="single" w:color="auto" w:sz="4" w:space="0"/>
              <w:bottom w:val="single" w:color="auto" w:sz="4" w:space="0"/>
            </w:tcBorders>
          </w:tcPr>
          <w:p>
            <w:r>
              <w:rPr>
                <w:rFonts w:hint="eastAsia" w:ascii="宋体"/>
                <w:kern w:val="0"/>
              </w:rPr>
              <w:t>电钢琴权限信息综合采集器</w:t>
            </w:r>
          </w:p>
        </w:tc>
        <w:tc>
          <w:tcPr>
            <w:tcW w:w="5150" w:type="dxa"/>
            <w:tcBorders>
              <w:top w:val="single" w:color="auto" w:sz="4" w:space="0"/>
              <w:bottom w:val="single" w:color="auto" w:sz="4" w:space="0"/>
            </w:tcBorders>
          </w:tcPr>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系统核心安全设备，用于保障系统软件平台安全运行，各种高权限操作验证安全狗；</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▲通过USB接在电脑或服务器上工作，具备无操作倒计时关闭屏幕背光的待机模式；（中标后提供产品功能演示视频佐证）</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基本参数要求：采用USB接口通信及供电，同时包含有指纹识别模块、刷卡模块、尺寸≥3.0寸彩色触摸屏，产品厚度≤30mm(提供实物厚度测量照片)，具备中文语音提示功能；（提供产品检测报告佐证，并提供检测机构官网报告查询网址）</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▲锁定保护功能：可指纹操作该设备锁定琴房软件平台，拔掉该设备软件平台自动锁定保护，管理员手机微信端账户将收到安全设备拔出警示通知；（提供产品设备拔出警示消息截图佐证）</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权限选择功能：通过刷管理员指纹，权限信息综合采集器触摸屏至少弹出登陆、锁屏、解锁屏功能选项，触摸登陆系统，电脑软件系统登陆，触摸锁屏选项，电脑系统锁屏保护，触摸解锁屏选项，系统解锁开启；（中标后提供产品演示视频佐证）</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用户信息读取功能：能读取用户卡片信息，指纹信息；</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支持读身份证；</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支持13.56Mhz卡片，包括S50、S70、复旦F08类型Mifare one卡、CPU卡以及银行卡（MF2卡），适用微软系统用户</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工作温度-20℃ ～70℃；</w:t>
            </w:r>
          </w:p>
          <w:p>
            <w:pPr>
              <w:pStyle w:val="11"/>
              <w:keepNext w:val="0"/>
              <w:keepLines w:val="0"/>
              <w:pageBreakBefore w:val="0"/>
              <w:numPr>
                <w:ilvl w:val="0"/>
                <w:numId w:val="2"/>
              </w:numPr>
              <w:kinsoku/>
              <w:wordWrap/>
              <w:overflowPunct/>
              <w:topLinePunct w:val="0"/>
              <w:autoSpaceDE/>
              <w:autoSpaceDN/>
              <w:bidi w:val="0"/>
              <w:adjustRightInd/>
              <w:snapToGrid/>
              <w:spacing w:line="300" w:lineRule="exact"/>
              <w:ind w:firstLineChars="0"/>
              <w:jc w:val="left"/>
              <w:textAlignment w:val="auto"/>
              <w:rPr>
                <w:rFonts w:cs="宋体"/>
                <w:sz w:val="21"/>
                <w:szCs w:val="21"/>
              </w:rPr>
            </w:pPr>
            <w:r>
              <w:rPr>
                <w:rFonts w:hint="eastAsia" w:cs="宋体"/>
                <w:sz w:val="21"/>
                <w:szCs w:val="21"/>
              </w:rPr>
              <w:t>工作湿度：10% ～90%；</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cs="宋体"/>
                <w:szCs w:val="21"/>
              </w:rPr>
              <w:t>★提供与电钢琴室教学管理系统同品牌的权限信息综合采集器嵌入式软件著作权证书复印件盖厂家鲜章，同时提供商标注册证复印件盖厂家公章；（检测报告产品名称需是权限信息综合采集器）；</w:t>
            </w:r>
          </w:p>
        </w:tc>
        <w:tc>
          <w:tcPr>
            <w:tcW w:w="613" w:type="dxa"/>
            <w:tcBorders>
              <w:top w:val="single" w:color="auto" w:sz="4" w:space="0"/>
              <w:bottom w:val="single" w:color="auto" w:sz="4" w:space="0"/>
              <w:right w:val="single" w:color="auto" w:sz="4" w:space="0"/>
            </w:tcBorders>
          </w:tcPr>
          <w:p>
            <w:r>
              <w:rPr>
                <w:rFonts w:hint="eastAsia"/>
              </w:rPr>
              <w:t>1</w:t>
            </w:r>
          </w:p>
        </w:tc>
        <w:tc>
          <w:tcPr>
            <w:tcW w:w="825" w:type="dxa"/>
            <w:tcBorders>
              <w:top w:val="single" w:color="auto" w:sz="4" w:space="0"/>
              <w:left w:val="single" w:color="auto" w:sz="4" w:space="0"/>
              <w:bottom w:val="single" w:color="auto" w:sz="4" w:space="0"/>
              <w:right w:val="single" w:color="auto" w:sz="4" w:space="0"/>
            </w:tcBorders>
          </w:tcPr>
          <w:p/>
        </w:tc>
        <w:tc>
          <w:tcPr>
            <w:tcW w:w="1667" w:type="dxa"/>
            <w:tcBorders>
              <w:top w:val="single" w:color="auto" w:sz="4" w:space="0"/>
              <w:left w:val="single" w:color="auto" w:sz="4" w:space="0"/>
              <w:bottom w:val="single" w:color="auto" w:sz="4" w:space="0"/>
              <w:right w:val="single" w:color="auto" w:sz="4" w:space="0"/>
            </w:tcBorders>
          </w:tcPr>
          <w:p/>
        </w:tc>
        <w:tc>
          <w:tcPr>
            <w:tcW w:w="425" w:type="dxa"/>
            <w:tcBorders>
              <w:top w:val="single" w:color="auto" w:sz="4" w:space="0"/>
              <w:left w:val="single" w:color="auto" w:sz="4" w:space="0"/>
              <w:bottom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43" w:hRule="atLeast"/>
        </w:trPr>
        <w:tc>
          <w:tcPr>
            <w:tcW w:w="426" w:type="dxa"/>
            <w:tcBorders>
              <w:top w:val="single" w:color="auto" w:sz="4" w:space="0"/>
              <w:bottom w:val="single" w:color="auto" w:sz="4" w:space="0"/>
            </w:tcBorders>
          </w:tcPr>
          <w:p/>
        </w:tc>
        <w:tc>
          <w:tcPr>
            <w:tcW w:w="641" w:type="dxa"/>
            <w:tcBorders>
              <w:top w:val="single" w:color="auto" w:sz="4" w:space="0"/>
              <w:bottom w:val="single" w:color="auto" w:sz="4" w:space="0"/>
            </w:tcBorders>
          </w:tcPr>
          <w:p>
            <w:r>
              <w:rPr>
                <w:rFonts w:hint="eastAsia" w:ascii="宋体" w:hAnsi="宋体" w:cs="宋体"/>
              </w:rPr>
              <w:t>多功能智慧终端</w:t>
            </w:r>
          </w:p>
        </w:tc>
        <w:tc>
          <w:tcPr>
            <w:tcW w:w="5150" w:type="dxa"/>
            <w:tcBorders>
              <w:top w:val="single" w:color="auto" w:sz="4" w:space="0"/>
              <w:bottom w:val="single" w:color="auto" w:sz="4" w:space="0"/>
            </w:tcBorders>
          </w:tcPr>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智能练琴语音提醒功能：根据用户预约练琴时间自动提醒用户练琴时间及相关注意事项；</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▲外观设计：超薄设计，厚度≤30mm（提供产品实物测量照片佐证），同时具备常规触摸开门按钮、应急机械开门按钮、报警功能按钮、报修功能按钮、开灯功能按钮；（提供实物照片佐证）</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▲具备报警报修防误按中文语音提醒功能，当误按到报警保修按钮时，设备会语音提示二次按下按钮操作才确认报警、报修提交成功，不二次按下自动取消该操作；</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▲同时具备有线控电及无线控电两种控电功能；（中标后提供产品演示视频佐证）</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额定阻抗：8Ω；</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频率响应：300Hz---15KHz；</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灵敏度：60dB±3dB；</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工作温度范围:-20℃~+60℃；</w:t>
            </w:r>
          </w:p>
          <w:p>
            <w:pPr>
              <w:pStyle w:val="10"/>
              <w:keepNext w:val="0"/>
              <w:keepLines w:val="0"/>
              <w:pageBreakBefore w:val="0"/>
              <w:widowControl/>
              <w:numPr>
                <w:ilvl w:val="0"/>
                <w:numId w:val="3"/>
              </w:numPr>
              <w:kinsoku/>
              <w:wordWrap/>
              <w:overflowPunct/>
              <w:topLinePunct w:val="0"/>
              <w:autoSpaceDE/>
              <w:autoSpaceDN/>
              <w:bidi w:val="0"/>
              <w:adjustRightInd/>
              <w:snapToGrid/>
              <w:spacing w:line="300" w:lineRule="exact"/>
              <w:ind w:firstLineChars="0"/>
              <w:jc w:val="left"/>
              <w:textAlignment w:val="auto"/>
              <w:rPr>
                <w:rFonts w:ascii="宋体" w:hAnsi="宋体" w:cs="宋体"/>
                <w:sz w:val="21"/>
                <w:szCs w:val="21"/>
              </w:rPr>
            </w:pPr>
            <w:r>
              <w:rPr>
                <w:rFonts w:hint="eastAsia" w:ascii="宋体" w:hAnsi="宋体" w:cs="宋体"/>
                <w:sz w:val="21"/>
                <w:szCs w:val="21"/>
              </w:rPr>
              <w:t>相对湿度:45%~80%(RH)；</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ascii="宋体" w:hAnsi="宋体" w:eastAsia="宋体" w:cs="宋体"/>
                <w:szCs w:val="21"/>
              </w:rPr>
              <w:t>★提供与</w:t>
            </w:r>
            <w:r>
              <w:rPr>
                <w:rFonts w:hint="eastAsia" w:ascii="宋体"/>
                <w:kern w:val="0"/>
              </w:rPr>
              <w:t>电钢琴室教学管理系统</w:t>
            </w:r>
            <w:r>
              <w:rPr>
                <w:rFonts w:hint="eastAsia" w:ascii="宋体" w:hAnsi="宋体" w:eastAsia="宋体" w:cs="宋体"/>
                <w:szCs w:val="21"/>
              </w:rPr>
              <w:t>同品牌的应急安全场景多功能智慧终端嵌入式软件著作权证书复印件，同时提供商标注册证复印件；</w:t>
            </w:r>
          </w:p>
        </w:tc>
        <w:tc>
          <w:tcPr>
            <w:tcW w:w="613" w:type="dxa"/>
            <w:tcBorders>
              <w:top w:val="single" w:color="auto" w:sz="4" w:space="0"/>
              <w:bottom w:val="single" w:color="auto" w:sz="4" w:space="0"/>
              <w:right w:val="single" w:color="auto" w:sz="4" w:space="0"/>
            </w:tcBorders>
          </w:tcPr>
          <w:p>
            <w:r>
              <w:rPr>
                <w:rFonts w:hint="eastAsia"/>
              </w:rPr>
              <w:t>1</w:t>
            </w:r>
          </w:p>
        </w:tc>
        <w:tc>
          <w:tcPr>
            <w:tcW w:w="825" w:type="dxa"/>
            <w:tcBorders>
              <w:top w:val="single" w:color="auto" w:sz="4" w:space="0"/>
              <w:left w:val="single" w:color="auto" w:sz="4" w:space="0"/>
              <w:bottom w:val="single" w:color="auto" w:sz="4" w:space="0"/>
              <w:right w:val="single" w:color="auto" w:sz="4" w:space="0"/>
            </w:tcBorders>
          </w:tcPr>
          <w:p/>
        </w:tc>
        <w:tc>
          <w:tcPr>
            <w:tcW w:w="1667" w:type="dxa"/>
            <w:tcBorders>
              <w:top w:val="single" w:color="auto" w:sz="4" w:space="0"/>
              <w:left w:val="single" w:color="auto" w:sz="4" w:space="0"/>
              <w:bottom w:val="single" w:color="auto" w:sz="4" w:space="0"/>
              <w:right w:val="single" w:color="auto" w:sz="4" w:space="0"/>
            </w:tcBorders>
          </w:tcPr>
          <w:p/>
        </w:tc>
        <w:tc>
          <w:tcPr>
            <w:tcW w:w="425" w:type="dxa"/>
            <w:tcBorders>
              <w:top w:val="single" w:color="auto" w:sz="4" w:space="0"/>
              <w:left w:val="single" w:color="auto" w:sz="4" w:space="0"/>
              <w:bottom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80" w:hRule="atLeast"/>
        </w:trPr>
        <w:tc>
          <w:tcPr>
            <w:tcW w:w="426" w:type="dxa"/>
            <w:tcBorders>
              <w:top w:val="single" w:color="auto" w:sz="4" w:space="0"/>
            </w:tcBorders>
          </w:tcPr>
          <w:p/>
        </w:tc>
        <w:tc>
          <w:tcPr>
            <w:tcW w:w="641" w:type="dxa"/>
            <w:tcBorders>
              <w:top w:val="single" w:color="auto" w:sz="4" w:space="0"/>
            </w:tcBorders>
          </w:tcPr>
          <w:p>
            <w:r>
              <w:rPr>
                <w:rFonts w:hint="eastAsia" w:ascii="宋体"/>
                <w:kern w:val="0"/>
              </w:rPr>
              <w:t>电钢琴室教学管理系统</w:t>
            </w:r>
          </w:p>
        </w:tc>
        <w:tc>
          <w:tcPr>
            <w:tcW w:w="5150" w:type="dxa"/>
            <w:tcBorders>
              <w:top w:val="single" w:color="auto" w:sz="4" w:space="0"/>
            </w:tcBorders>
          </w:tcPr>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重要操作权限验证功能：重要操作如删除用户或系统记录信息需验证管理员指纹（通过外接权限信息综合采集器验证指纹），保障系统数据不被恶意操作，同时生成重要操作人员记录；（中标后须提供软件系统及权限信息综合采集器演示该功能）</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软件系统安全运行保护功能：管理员临时离开管理电脑时可点击软件锁屏按钮锁屏保护，返回时通过外接权限信息综合采集器刷卡或指纹解锁系统，指纹解锁时，权限信息综合采集器液晶屏至少弹出解锁和登陆两个按钮供选择，通过触摸权限信息综合采集器屏幕显示的解锁按钮解锁软件；拔掉通过USB接口连接电脑的权限信息综合采集器，系统锁定保护；</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1、当学生可直接在智慧管理机屏幕上触摸选择一台空闲的电钢琴，刷卡申请使用，刷卡申请成功，对应电钢琴自动通电，学生到对应申请电钢琴上练琴，未成功预约或授权的电钢琴不通电；</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学生可通过系统手机微信端预约使用电钢琴，预约成功后，可直接使用手机微信端开启对应电钢琴教室门禁，到对应电钢琴后直接使用手机微信端上琴对应电钢琴，对应电钢琴微信上琴后自动联动系统通电，实现无卡预约练琴；</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3、学生也可直接在智慧管理机屏幕上扫描二维码实时预约一台满足自己需求的电钢琴练琴；</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4、系统可向管理老师反馈每台电钢琴使用情况，包括谁在用，开始使用时间等；所有电钢琴都有详细的练琴记录以及通电时长统计，方便电钢琴维护及管理老师统计数据；</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5、系统还可反馈每台电钢琴在预约时段内弹奏的时长和空闲时长，时刻监控电钢琴的工作状态，从而向老师反馈每个学生练琴的效率；</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6、可通过系统保修有问题的电钢琴；</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使用系统后需达到如下管理要求：</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一、管理智能化秩序化</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1、电钢教室日常管理可达到无人值守，系统自动智能化运行，大大减少管理人力，同时，师生通过系统可实现自助用琴教学；</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2、学生自由练琴必须有权使用且预约成功，才能授权进入电钢教室，系统才会让对应电钢琴在预约时间段内通电；混入教室练琴和无限时间霸占用琴的情况将被系统自动监管控制；</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3、通过系统预约或上课刷卡，详细记录上下课操作，可实现考勤功能；</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二、操作使用人性化</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1、避免了高峰期排队拥堵，浪费师生宝贵的教学时间；</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2、用户使用可有多种渠道预约，包括手机查询电钢教室使用情况，提前预约电钢琴；</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3、师生可通过手机端实时掌握电钢教室使用情况，在有琴的时候才到现场去，高峰期无琴可不用去，大大方便使用，避免白跑路情况发生；</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三、安全节能</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1、通过集中供电，改变布线模式，避免师生经常去插拔插座，更加安全；</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2、电钢琴只有在预约使用时段才通电，空闲断电，一定程度上节约用电；</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3、智能控电：系统通过琴房内智能电控设备，可联动控制每间琴房电源及中央空调等设备，有人合法登记练琴时，电源接通，无人登记练琴或练琴时间到点电源自动断开，达到节能效果；</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4、远程控电：管理老师可通过手机微信端或管理电脑端远程控制琴房电源，可远程开启和关闭琴房电源，方便管理老师远程统一管理；</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四、琴房资源高效合理利用</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每一台电钢琴的使用情况都会实时体现在平台上，空闲或者是正在使用中，方便师生用琴，提高琴的使用效率，管理老师对所有琴房琴的使用情况都掌握在手，通过数据分析，掌握用琴高峰期，空闲期，可制定相关管理措施，进一步提高电钢琴的使用效率；</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2、练琴时间通过系统合理分配，实现每天固定分配练琴时间，而不是要考试的时候大家蜂拥练琴，平时都不去练琴，系统每天固定分配琴时，让学生每天合理分配时间坚持学习，同事避免人多琴少时同学们练琴时间不均衡，一些同学多练，一些同学没有琴可练；</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3、一旦有电钢琴或相关设备出现故障，师生可通过手机端立刻申请保修，管理老师立刻会收到保修信息，及时处理；</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五、数据报表，数据分析，辅助教学及考核</w:t>
            </w:r>
          </w:p>
          <w:p>
            <w:pPr>
              <w:pStyle w:val="10"/>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宋体"/>
                <w:sz w:val="21"/>
                <w:szCs w:val="21"/>
              </w:rPr>
            </w:pPr>
            <w:r>
              <w:rPr>
                <w:rFonts w:hint="eastAsia" w:ascii="宋体"/>
                <w:sz w:val="21"/>
                <w:szCs w:val="21"/>
              </w:rPr>
              <w:t>1、系统对每台琴的详细使用情况，每个学生每天每学期的练琴情况均可形成数据记录及统计报表，领导，老师，管理人员可根据数据统计报表，分析教学情况，分析学生学习情况，针对每个同学的用琴学习详细记录，给出改善指导方向，达到辅助教学及学生学习考核的功能；</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ascii="宋体"/>
                <w:szCs w:val="21"/>
              </w:rPr>
              <w:t>中标后须提供软件系统逐条演示产品功能</w:t>
            </w:r>
          </w:p>
        </w:tc>
        <w:tc>
          <w:tcPr>
            <w:tcW w:w="613" w:type="dxa"/>
            <w:tcBorders>
              <w:top w:val="single" w:color="auto" w:sz="4" w:space="0"/>
              <w:right w:val="single" w:color="auto" w:sz="4" w:space="0"/>
            </w:tcBorders>
          </w:tcPr>
          <w:p>
            <w:r>
              <w:rPr>
                <w:rFonts w:hint="eastAsia"/>
              </w:rPr>
              <w:t>1</w:t>
            </w:r>
          </w:p>
        </w:tc>
        <w:tc>
          <w:tcPr>
            <w:tcW w:w="825" w:type="dxa"/>
            <w:tcBorders>
              <w:top w:val="single" w:color="auto" w:sz="4" w:space="0"/>
              <w:left w:val="single" w:color="auto" w:sz="4" w:space="0"/>
              <w:right w:val="single" w:color="auto" w:sz="4" w:space="0"/>
            </w:tcBorders>
          </w:tcPr>
          <w:p/>
        </w:tc>
        <w:tc>
          <w:tcPr>
            <w:tcW w:w="1667" w:type="dxa"/>
            <w:tcBorders>
              <w:top w:val="single" w:color="auto" w:sz="4" w:space="0"/>
              <w:left w:val="single" w:color="auto" w:sz="4" w:space="0"/>
              <w:right w:val="single" w:color="auto" w:sz="4" w:space="0"/>
            </w:tcBorders>
          </w:tcPr>
          <w:p/>
        </w:tc>
        <w:tc>
          <w:tcPr>
            <w:tcW w:w="425" w:type="dxa"/>
            <w:tcBorders>
              <w:top w:val="single" w:color="auto" w:sz="4" w:space="0"/>
              <w:left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26" w:type="dxa"/>
          </w:tcPr>
          <w:p>
            <w:r>
              <w:rPr>
                <w:rFonts w:hint="eastAsia"/>
              </w:rPr>
              <w:t>4</w:t>
            </w:r>
          </w:p>
        </w:tc>
        <w:tc>
          <w:tcPr>
            <w:tcW w:w="641" w:type="dxa"/>
          </w:tcPr>
          <w:p>
            <w:r>
              <w:rPr>
                <w:rFonts w:hint="eastAsia"/>
              </w:rPr>
              <w:t>钢琴调律</w:t>
            </w:r>
          </w:p>
        </w:tc>
        <w:tc>
          <w:tcPr>
            <w:tcW w:w="5150" w:type="dxa"/>
          </w:tcPr>
          <w:p>
            <w:pPr>
              <w:keepNext w:val="0"/>
              <w:keepLines w:val="0"/>
              <w:pageBreakBefore w:val="0"/>
              <w:kinsoku/>
              <w:wordWrap/>
              <w:overflowPunct/>
              <w:topLinePunct w:val="0"/>
              <w:autoSpaceDE/>
              <w:autoSpaceDN/>
              <w:bidi w:val="0"/>
              <w:adjustRightInd/>
              <w:snapToGrid/>
              <w:spacing w:line="300" w:lineRule="exact"/>
              <w:textAlignment w:val="auto"/>
            </w:pPr>
            <w:r>
              <w:rPr>
                <w:rFonts w:hint="eastAsia"/>
              </w:rPr>
              <w:t>数量：25台</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rPr>
              <w:t>音准要求：小子一组键盘a音为440Hz，</w:t>
            </w:r>
          </w:p>
          <w:p>
            <w:pPr>
              <w:keepNext w:val="0"/>
              <w:keepLines w:val="0"/>
              <w:pageBreakBefore w:val="0"/>
              <w:kinsoku/>
              <w:wordWrap/>
              <w:overflowPunct/>
              <w:topLinePunct w:val="0"/>
              <w:autoSpaceDE/>
              <w:autoSpaceDN/>
              <w:bidi w:val="0"/>
              <w:adjustRightInd/>
              <w:snapToGrid/>
              <w:spacing w:line="300" w:lineRule="exact"/>
              <w:textAlignment w:val="auto"/>
            </w:pPr>
            <w:r>
              <w:rPr>
                <w:rFonts w:hint="eastAsia"/>
              </w:rPr>
              <w:t>键盘要求：各机械部分工作正常、手感统一流畅</w:t>
            </w:r>
          </w:p>
          <w:p>
            <w:pPr>
              <w:keepNext w:val="0"/>
              <w:keepLines w:val="0"/>
              <w:pageBreakBefore w:val="0"/>
              <w:kinsoku/>
              <w:wordWrap/>
              <w:overflowPunct/>
              <w:topLinePunct w:val="0"/>
              <w:autoSpaceDE/>
              <w:autoSpaceDN/>
              <w:bidi w:val="0"/>
              <w:adjustRightInd/>
              <w:snapToGrid/>
              <w:spacing w:line="300" w:lineRule="exact"/>
              <w:textAlignment w:val="auto"/>
            </w:pPr>
          </w:p>
        </w:tc>
        <w:tc>
          <w:tcPr>
            <w:tcW w:w="613" w:type="dxa"/>
            <w:tcBorders>
              <w:right w:val="single" w:color="auto" w:sz="4" w:space="0"/>
            </w:tcBorders>
          </w:tcPr>
          <w:p>
            <w:r>
              <w:rPr>
                <w:rFonts w:hint="eastAsia"/>
              </w:rPr>
              <w:t>25</w:t>
            </w:r>
          </w:p>
        </w:tc>
        <w:tc>
          <w:tcPr>
            <w:tcW w:w="825" w:type="dxa"/>
            <w:tcBorders>
              <w:left w:val="single" w:color="auto" w:sz="4" w:space="0"/>
              <w:right w:val="single" w:color="auto" w:sz="4" w:space="0"/>
            </w:tcBorders>
          </w:tcPr>
          <w:p/>
        </w:tc>
        <w:tc>
          <w:tcPr>
            <w:tcW w:w="1667" w:type="dxa"/>
            <w:tcBorders>
              <w:left w:val="single" w:color="auto" w:sz="4" w:space="0"/>
              <w:right w:val="single" w:color="auto" w:sz="4" w:space="0"/>
            </w:tcBorders>
          </w:tcPr>
          <w:p/>
        </w:tc>
        <w:tc>
          <w:tcPr>
            <w:tcW w:w="425" w:type="dxa"/>
            <w:tcBorders>
              <w:left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426" w:type="dxa"/>
          </w:tcPr>
          <w:p>
            <w:r>
              <w:rPr>
                <w:rFonts w:hint="eastAsia"/>
              </w:rPr>
              <w:t>5</w:t>
            </w:r>
          </w:p>
        </w:tc>
        <w:tc>
          <w:tcPr>
            <w:tcW w:w="641" w:type="dxa"/>
          </w:tcPr>
          <w:p>
            <w:r>
              <w:rPr>
                <w:rFonts w:hint="eastAsia"/>
              </w:rPr>
              <w:t>电钢琴教室集中供电</w:t>
            </w:r>
          </w:p>
        </w:tc>
        <w:tc>
          <w:tcPr>
            <w:tcW w:w="5150" w:type="dxa"/>
          </w:tcPr>
          <w:p>
            <w:pPr>
              <w:pStyle w:val="9"/>
              <w:keepNext w:val="0"/>
              <w:keepLines w:val="0"/>
              <w:pageBreakBefore w:val="0"/>
              <w:numPr>
                <w:ilvl w:val="0"/>
                <w:numId w:val="4"/>
              </w:numPr>
              <w:kinsoku/>
              <w:wordWrap/>
              <w:overflowPunct/>
              <w:topLinePunct w:val="0"/>
              <w:autoSpaceDE/>
              <w:autoSpaceDN/>
              <w:bidi w:val="0"/>
              <w:adjustRightInd/>
              <w:snapToGrid/>
              <w:spacing w:line="300" w:lineRule="exact"/>
              <w:ind w:firstLineChars="0"/>
              <w:textAlignment w:val="auto"/>
            </w:pPr>
            <w:r>
              <w:rPr>
                <w:rFonts w:hint="eastAsia"/>
              </w:rPr>
              <w:t>根据使用场地要求现场测量、设计，施工内容必须完全匹配电钢琴教室的硬件要求和教学需求。</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firstLineChars="0"/>
              <w:textAlignment w:val="auto"/>
            </w:pPr>
            <w:r>
              <w:rPr>
                <w:rFonts w:hint="eastAsia"/>
              </w:rPr>
              <w:t>弱电布线：含电钢琴调试</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firstLineChars="0"/>
              <w:textAlignment w:val="auto"/>
            </w:pPr>
            <w:r>
              <w:rPr>
                <w:rFonts w:hint="eastAsia"/>
              </w:rPr>
              <w:t>强电布线：含插座、开关（盒）</w:t>
            </w:r>
          </w:p>
          <w:p>
            <w:pPr>
              <w:pStyle w:val="9"/>
              <w:keepNext w:val="0"/>
              <w:keepLines w:val="0"/>
              <w:pageBreakBefore w:val="0"/>
              <w:numPr>
                <w:ilvl w:val="0"/>
                <w:numId w:val="4"/>
              </w:numPr>
              <w:kinsoku/>
              <w:wordWrap/>
              <w:overflowPunct/>
              <w:topLinePunct w:val="0"/>
              <w:autoSpaceDE/>
              <w:autoSpaceDN/>
              <w:bidi w:val="0"/>
              <w:adjustRightInd/>
              <w:snapToGrid/>
              <w:spacing w:line="300" w:lineRule="exact"/>
              <w:ind w:firstLineChars="0"/>
              <w:textAlignment w:val="auto"/>
            </w:pPr>
            <w:r>
              <w:rPr>
                <w:rFonts w:hint="eastAsia"/>
              </w:rPr>
              <w:t>电线和施工辅材均采用国内知名品牌，确保教学正常使用运行</w:t>
            </w:r>
          </w:p>
          <w:p>
            <w:pPr>
              <w:keepNext w:val="0"/>
              <w:keepLines w:val="0"/>
              <w:pageBreakBefore w:val="0"/>
              <w:kinsoku/>
              <w:wordWrap/>
              <w:overflowPunct/>
              <w:topLinePunct w:val="0"/>
              <w:autoSpaceDE/>
              <w:autoSpaceDN/>
              <w:bidi w:val="0"/>
              <w:adjustRightInd/>
              <w:snapToGrid/>
              <w:spacing w:line="300" w:lineRule="exact"/>
              <w:textAlignment w:val="auto"/>
            </w:pPr>
          </w:p>
        </w:tc>
        <w:tc>
          <w:tcPr>
            <w:tcW w:w="613" w:type="dxa"/>
            <w:tcBorders>
              <w:right w:val="single" w:color="auto" w:sz="4" w:space="0"/>
            </w:tcBorders>
          </w:tcPr>
          <w:p>
            <w:r>
              <w:rPr>
                <w:rFonts w:hint="eastAsia"/>
              </w:rPr>
              <w:t>1</w:t>
            </w:r>
          </w:p>
          <w:p/>
          <w:p/>
          <w:p/>
        </w:tc>
        <w:tc>
          <w:tcPr>
            <w:tcW w:w="825" w:type="dxa"/>
            <w:tcBorders>
              <w:left w:val="single" w:color="auto" w:sz="4" w:space="0"/>
              <w:right w:val="single" w:color="auto" w:sz="4" w:space="0"/>
            </w:tcBorders>
          </w:tcPr>
          <w:p/>
        </w:tc>
        <w:tc>
          <w:tcPr>
            <w:tcW w:w="1667" w:type="dxa"/>
            <w:tcBorders>
              <w:left w:val="single" w:color="auto" w:sz="4" w:space="0"/>
              <w:right w:val="single" w:color="auto" w:sz="4" w:space="0"/>
            </w:tcBorders>
          </w:tcPr>
          <w:p/>
        </w:tc>
        <w:tc>
          <w:tcPr>
            <w:tcW w:w="425" w:type="dxa"/>
            <w:tcBorders>
              <w:left w:val="single" w:color="auto" w:sz="4" w:space="0"/>
            </w:tcBorders>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7" w:hRule="atLeast"/>
        </w:trPr>
        <w:tc>
          <w:tcPr>
            <w:tcW w:w="426" w:type="dxa"/>
          </w:tcPr>
          <w:p>
            <w:r>
              <w:rPr>
                <w:rFonts w:hint="eastAsia"/>
              </w:rPr>
              <w:t>6</w:t>
            </w:r>
          </w:p>
        </w:tc>
        <w:tc>
          <w:tcPr>
            <w:tcW w:w="641" w:type="dxa"/>
          </w:tcPr>
          <w:p>
            <w:r>
              <w:rPr>
                <w:rFonts w:hint="eastAsia"/>
              </w:rPr>
              <w:t>合计</w:t>
            </w:r>
          </w:p>
        </w:tc>
        <w:tc>
          <w:tcPr>
            <w:tcW w:w="8680" w:type="dxa"/>
            <w:gridSpan w:val="5"/>
          </w:tc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lvlText w:val="%1."/>
      <w:lvlJc w:val="left"/>
      <w:pPr>
        <w:ind w:left="425" w:hanging="425"/>
      </w:pPr>
      <w:rPr>
        <w:rFonts w:hint="default"/>
      </w:rPr>
    </w:lvl>
  </w:abstractNum>
  <w:abstractNum w:abstractNumId="1">
    <w:nsid w:val="00000002"/>
    <w:multiLevelType w:val="singleLevel"/>
    <w:tmpl w:val="00000002"/>
    <w:lvl w:ilvl="0" w:tentative="0">
      <w:start w:val="1"/>
      <w:numFmt w:val="decimal"/>
      <w:lvlText w:val="%1."/>
      <w:lvlJc w:val="left"/>
      <w:pPr>
        <w:ind w:left="425" w:hanging="425"/>
      </w:pPr>
      <w:rPr>
        <w:rFonts w:hint="default"/>
      </w:rPr>
    </w:lvl>
  </w:abstractNum>
  <w:abstractNum w:abstractNumId="2">
    <w:nsid w:val="00000003"/>
    <w:multiLevelType w:val="singleLevel"/>
    <w:tmpl w:val="00000003"/>
    <w:lvl w:ilvl="0" w:tentative="0">
      <w:start w:val="1"/>
      <w:numFmt w:val="decimal"/>
      <w:suff w:val="nothing"/>
      <w:lvlText w:val="%1、"/>
      <w:lvlJc w:val="left"/>
    </w:lvl>
  </w:abstractNum>
  <w:abstractNum w:abstractNumId="3">
    <w:nsid w:val="60A01EDB"/>
    <w:multiLevelType w:val="multilevel"/>
    <w:tmpl w:val="60A01ED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B0F95"/>
    <w:rsid w:val="000A00D4"/>
    <w:rsid w:val="00117E45"/>
    <w:rsid w:val="001B2078"/>
    <w:rsid w:val="001E3417"/>
    <w:rsid w:val="002371F3"/>
    <w:rsid w:val="002A7254"/>
    <w:rsid w:val="003810A6"/>
    <w:rsid w:val="003A52BA"/>
    <w:rsid w:val="003B0F95"/>
    <w:rsid w:val="003E4AB9"/>
    <w:rsid w:val="00417324"/>
    <w:rsid w:val="00504DA1"/>
    <w:rsid w:val="00507964"/>
    <w:rsid w:val="00510F4D"/>
    <w:rsid w:val="00552159"/>
    <w:rsid w:val="005C7101"/>
    <w:rsid w:val="005E389B"/>
    <w:rsid w:val="00602A1D"/>
    <w:rsid w:val="00674D75"/>
    <w:rsid w:val="00691FD6"/>
    <w:rsid w:val="007A38AB"/>
    <w:rsid w:val="007F3677"/>
    <w:rsid w:val="008B5025"/>
    <w:rsid w:val="008B7188"/>
    <w:rsid w:val="008D6B56"/>
    <w:rsid w:val="00A213D1"/>
    <w:rsid w:val="00A44318"/>
    <w:rsid w:val="00A60676"/>
    <w:rsid w:val="00B26148"/>
    <w:rsid w:val="00BC54B8"/>
    <w:rsid w:val="00C74D60"/>
    <w:rsid w:val="00D63212"/>
    <w:rsid w:val="00EB21B8"/>
    <w:rsid w:val="00F2503B"/>
    <w:rsid w:val="00F614EA"/>
    <w:rsid w:val="00F97C0F"/>
    <w:rsid w:val="00FB042B"/>
    <w:rsid w:val="073F55DA"/>
    <w:rsid w:val="0BCF5B78"/>
    <w:rsid w:val="0C0F417B"/>
    <w:rsid w:val="17D952E5"/>
    <w:rsid w:val="2122321A"/>
    <w:rsid w:val="2DFC5521"/>
    <w:rsid w:val="307C34EC"/>
    <w:rsid w:val="30DA5A31"/>
    <w:rsid w:val="3F564F22"/>
    <w:rsid w:val="40545622"/>
    <w:rsid w:val="42323A0F"/>
    <w:rsid w:val="43726594"/>
    <w:rsid w:val="4C504745"/>
    <w:rsid w:val="4EF750EB"/>
    <w:rsid w:val="5B2D568E"/>
    <w:rsid w:val="5B333273"/>
    <w:rsid w:val="65E0342A"/>
    <w:rsid w:val="6D5D281B"/>
    <w:rsid w:val="75C36058"/>
    <w:rsid w:val="789015FB"/>
    <w:rsid w:val="7A091FAB"/>
    <w:rsid w:val="7B8B6E46"/>
    <w:rsid w:val="7C6B1EA6"/>
    <w:rsid w:val="7DFA49FB"/>
    <w:rsid w:val="7E0A02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34"/>
    <w:pPr>
      <w:ind w:firstLine="420" w:firstLineChars="200"/>
    </w:pPr>
  </w:style>
  <w:style w:type="paragraph" w:customStyle="1" w:styleId="10">
    <w:name w:val="列出段落1"/>
    <w:basedOn w:val="1"/>
    <w:qFormat/>
    <w:uiPriority w:val="0"/>
    <w:pPr>
      <w:adjustRightInd w:val="0"/>
      <w:spacing w:line="360" w:lineRule="atLeast"/>
      <w:ind w:firstLine="420" w:firstLineChars="200"/>
      <w:textAlignment w:val="baseline"/>
    </w:pPr>
    <w:rPr>
      <w:rFonts w:ascii="Times New Roman" w:hAnsi="Times New Roman" w:eastAsia="宋体" w:cs="Times New Roman"/>
      <w:kern w:val="0"/>
      <w:sz w:val="20"/>
      <w:szCs w:val="20"/>
    </w:rPr>
  </w:style>
  <w:style w:type="paragraph" w:customStyle="1" w:styleId="11">
    <w:name w:val="列出段落11"/>
    <w:basedOn w:val="1"/>
    <w:qFormat/>
    <w:uiPriority w:val="0"/>
    <w:pPr>
      <w:adjustRightInd w:val="0"/>
      <w:spacing w:line="360" w:lineRule="atLeast"/>
      <w:ind w:firstLine="420" w:firstLineChars="200"/>
      <w:textAlignment w:val="baseline"/>
    </w:pPr>
    <w:rPr>
      <w:rFonts w:ascii="Times New Roman" w:hAnsi="Times New Roman" w:eastAsia="宋体" w:cs="Times New Roman"/>
      <w:kern w:val="0"/>
      <w:sz w:val="20"/>
      <w:szCs w:val="20"/>
    </w:rPr>
  </w:style>
  <w:style w:type="paragraph" w:customStyle="1" w:styleId="12">
    <w:name w:val="Table Paragraph"/>
    <w:basedOn w:val="1"/>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Www.SangSan.Cn</Company>
  <Pages>1</Pages>
  <Words>860</Words>
  <Characters>4903</Characters>
  <Lines>40</Lines>
  <Paragraphs>11</Paragraphs>
  <TotalTime>14</TotalTime>
  <ScaleCrop>false</ScaleCrop>
  <LinksUpToDate>false</LinksUpToDate>
  <CharactersWithSpaces>5752</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2020-10-26T02:20:00Z</dcterms:created>
  <dc:creator>桑三博客</dc:creator>
  <cp:lastModifiedBy>Mr.hong</cp:lastModifiedBy>
  <dcterms:modified xsi:type="dcterms:W3CDTF">2021-08-24T01:00:42Z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78DF0BF674E9465DAB92812B861EF6A3</vt:lpwstr>
  </property>
</Properties>
</file>